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A62C9" w14:textId="24105B03" w:rsidR="00147B4A" w:rsidRPr="00147B4A" w:rsidRDefault="00147B4A" w:rsidP="00147B4A">
      <w:pPr>
        <w:jc w:val="center"/>
        <w:rPr>
          <w:smallCaps/>
          <w:sz w:val="36"/>
          <w:szCs w:val="36"/>
          <w14:shadow w14:blurRad="75057" w14:dist="38100" w14:dir="5400000" w14:sx="100000" w14:sy="-20000" w14:kx="0" w14:ky="0" w14:algn="b">
            <w14:srgbClr w14:val="000000">
              <w14:alpha w14:val="75000"/>
            </w14:srgbClr>
          </w14:shadow>
        </w:rPr>
      </w:pPr>
      <w:r w:rsidRPr="00147B4A">
        <w:rPr>
          <w:smallCaps/>
          <w:sz w:val="36"/>
          <w:szCs w:val="36"/>
          <w14:shadow w14:blurRad="75057" w14:dist="38100" w14:dir="5400000" w14:sx="100000" w14:sy="-20000" w14:kx="0" w14:ky="0" w14:algn="b">
            <w14:srgbClr w14:val="000000">
              <w14:alpha w14:val="75000"/>
            </w14:srgbClr>
          </w14:shadow>
        </w:rPr>
        <w:t>LEADER-Region Hümmling 2023-2027</w:t>
      </w:r>
    </w:p>
    <w:tbl>
      <w:tblPr>
        <w:tblW w:w="0" w:type="auto"/>
        <w:jc w:val="center"/>
        <w:tblLook w:val="04A0" w:firstRow="1" w:lastRow="0" w:firstColumn="1" w:lastColumn="0" w:noHBand="0" w:noVBand="1"/>
      </w:tblPr>
      <w:tblGrid>
        <w:gridCol w:w="2392"/>
        <w:gridCol w:w="2391"/>
        <w:gridCol w:w="2606"/>
        <w:gridCol w:w="2391"/>
      </w:tblGrid>
      <w:tr w:rsidR="008F2F5F" w:rsidRPr="00147B4A" w14:paraId="6C8AE01A" w14:textId="77777777" w:rsidTr="00147B4A">
        <w:trPr>
          <w:jc w:val="center"/>
        </w:trPr>
        <w:tc>
          <w:tcPr>
            <w:tcW w:w="2445" w:type="dxa"/>
            <w:shd w:val="clear" w:color="auto" w:fill="auto"/>
            <w:vAlign w:val="center"/>
          </w:tcPr>
          <w:p w14:paraId="152E4534" w14:textId="1F984098" w:rsidR="00B11FA3" w:rsidRPr="00147B4A" w:rsidRDefault="009519BE" w:rsidP="007A2D5B">
            <w:pPr>
              <w:rPr>
                <w14:shadow w14:blurRad="75057" w14:dist="38100" w14:dir="5400000" w14:sx="100000" w14:sy="-20000" w14:kx="0" w14:ky="0" w14:algn="b">
                  <w14:srgbClr w14:val="000000">
                    <w14:alpha w14:val="75000"/>
                  </w14:srgbClr>
                </w14:shadow>
              </w:rPr>
            </w:pPr>
            <w:r w:rsidRPr="00147B4A">
              <w:rPr>
                <w:noProof/>
                <w14:shadow w14:blurRad="75057" w14:dist="38100" w14:dir="5400000" w14:sx="100000" w14:sy="-20000" w14:kx="0" w14:ky="0" w14:algn="b">
                  <w14:srgbClr w14:val="000000">
                    <w14:alpha w14:val="75000"/>
                  </w14:srgbClr>
                </w14:shadow>
              </w:rPr>
              <w:drawing>
                <wp:inline distT="0" distB="0" distL="0" distR="0" wp14:anchorId="3F7B8F86" wp14:editId="31658B28">
                  <wp:extent cx="1438275" cy="42037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420370"/>
                          </a:xfrm>
                          <a:prstGeom prst="rect">
                            <a:avLst/>
                          </a:prstGeom>
                          <a:noFill/>
                          <a:ln>
                            <a:noFill/>
                          </a:ln>
                        </pic:spPr>
                      </pic:pic>
                    </a:graphicData>
                  </a:graphic>
                </wp:inline>
              </w:drawing>
            </w:r>
          </w:p>
        </w:tc>
        <w:tc>
          <w:tcPr>
            <w:tcW w:w="2445" w:type="dxa"/>
            <w:shd w:val="clear" w:color="auto" w:fill="auto"/>
            <w:vAlign w:val="center"/>
          </w:tcPr>
          <w:p w14:paraId="2B218660" w14:textId="1A0F4EB5" w:rsidR="00B11FA3" w:rsidRPr="00147B4A" w:rsidRDefault="009519BE" w:rsidP="007A2D5B">
            <w:pPr>
              <w:rPr>
                <w14:shadow w14:blurRad="75057" w14:dist="38100" w14:dir="5400000" w14:sx="100000" w14:sy="-20000" w14:kx="0" w14:ky="0" w14:algn="b">
                  <w14:srgbClr w14:val="000000">
                    <w14:alpha w14:val="75000"/>
                  </w14:srgbClr>
                </w14:shadow>
              </w:rPr>
            </w:pPr>
            <w:r w:rsidRPr="00147B4A">
              <w:rPr>
                <w:noProof/>
                <w14:shadow w14:blurRad="75057" w14:dist="38100" w14:dir="5400000" w14:sx="100000" w14:sy="-20000" w14:kx="0" w14:ky="0" w14:algn="b">
                  <w14:srgbClr w14:val="000000">
                    <w14:alpha w14:val="75000"/>
                  </w14:srgbClr>
                </w14:shadow>
              </w:rPr>
              <w:drawing>
                <wp:inline distT="0" distB="0" distL="0" distR="0" wp14:anchorId="023DD216" wp14:editId="3BA3E830">
                  <wp:extent cx="1438275" cy="700405"/>
                  <wp:effectExtent l="0" t="0" r="0" b="0"/>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700405"/>
                          </a:xfrm>
                          <a:prstGeom prst="rect">
                            <a:avLst/>
                          </a:prstGeom>
                          <a:noFill/>
                          <a:ln>
                            <a:noFill/>
                          </a:ln>
                        </pic:spPr>
                      </pic:pic>
                    </a:graphicData>
                  </a:graphic>
                </wp:inline>
              </w:drawing>
            </w:r>
          </w:p>
        </w:tc>
        <w:tc>
          <w:tcPr>
            <w:tcW w:w="2445" w:type="dxa"/>
            <w:shd w:val="clear" w:color="auto" w:fill="auto"/>
            <w:vAlign w:val="center"/>
          </w:tcPr>
          <w:p w14:paraId="402CEA57" w14:textId="63582697" w:rsidR="00B11FA3" w:rsidRPr="00147B4A" w:rsidRDefault="008F2F5F" w:rsidP="007A2D5B">
            <w:pPr>
              <w:rPr>
                <w14:shadow w14:blurRad="75057" w14:dist="38100" w14:dir="5400000" w14:sx="100000" w14:sy="-20000" w14:kx="0" w14:ky="0" w14:algn="b">
                  <w14:srgbClr w14:val="000000">
                    <w14:alpha w14:val="75000"/>
                  </w14:srgbClr>
                </w14:shadow>
              </w:rPr>
            </w:pPr>
            <w:r>
              <w:rPr>
                <w:noProof/>
              </w:rPr>
              <w:drawing>
                <wp:inline distT="0" distB="0" distL="0" distR="0" wp14:anchorId="47CD67A4" wp14:editId="2684BBC2">
                  <wp:extent cx="1580423" cy="7048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Samtgemeinde So╠êge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4487" cy="711122"/>
                          </a:xfrm>
                          <a:prstGeom prst="rect">
                            <a:avLst/>
                          </a:prstGeom>
                        </pic:spPr>
                      </pic:pic>
                    </a:graphicData>
                  </a:graphic>
                </wp:inline>
              </w:drawing>
            </w:r>
          </w:p>
        </w:tc>
        <w:tc>
          <w:tcPr>
            <w:tcW w:w="2445" w:type="dxa"/>
            <w:shd w:val="clear" w:color="auto" w:fill="auto"/>
            <w:vAlign w:val="center"/>
          </w:tcPr>
          <w:p w14:paraId="1626E0CD" w14:textId="57303D5F" w:rsidR="00B11FA3" w:rsidRPr="00147B4A" w:rsidRDefault="009519BE" w:rsidP="007A2D5B">
            <w:pPr>
              <w:rPr>
                <w14:shadow w14:blurRad="75057" w14:dist="38100" w14:dir="5400000" w14:sx="100000" w14:sy="-20000" w14:kx="0" w14:ky="0" w14:algn="b">
                  <w14:srgbClr w14:val="000000">
                    <w14:alpha w14:val="75000"/>
                  </w14:srgbClr>
                </w14:shadow>
              </w:rPr>
            </w:pPr>
            <w:r w:rsidRPr="00147B4A">
              <w:rPr>
                <w:noProof/>
                <w14:shadow w14:blurRad="75057" w14:dist="38100" w14:dir="5400000" w14:sx="100000" w14:sy="-20000" w14:kx="0" w14:ky="0" w14:algn="b">
                  <w14:srgbClr w14:val="000000">
                    <w14:alpha w14:val="75000"/>
                  </w14:srgbClr>
                </w14:shadow>
              </w:rPr>
              <w:drawing>
                <wp:inline distT="0" distB="0" distL="0" distR="0" wp14:anchorId="667B99D3" wp14:editId="05A2F226">
                  <wp:extent cx="1438275" cy="47180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471805"/>
                          </a:xfrm>
                          <a:prstGeom prst="rect">
                            <a:avLst/>
                          </a:prstGeom>
                          <a:noFill/>
                          <a:ln>
                            <a:noFill/>
                          </a:ln>
                        </pic:spPr>
                      </pic:pic>
                    </a:graphicData>
                  </a:graphic>
                </wp:inline>
              </w:drawing>
            </w:r>
          </w:p>
        </w:tc>
      </w:tr>
    </w:tbl>
    <w:p w14:paraId="26C4382A" w14:textId="77777777" w:rsidR="002A73F8" w:rsidRPr="002A73F8" w:rsidRDefault="002A73F8" w:rsidP="002A73F8">
      <w:pPr>
        <w:pStyle w:val="Kopfzeile"/>
        <w:pBdr>
          <w:bottom w:val="single" w:sz="12" w:space="1" w:color="auto"/>
        </w:pBdr>
        <w:tabs>
          <w:tab w:val="clear" w:pos="4536"/>
          <w:tab w:val="clear" w:pos="9072"/>
        </w:tabs>
        <w:jc w:val="center"/>
        <w:rPr>
          <w:rFonts w:ascii="Arial" w:hAnsi="Arial" w:cs="Arial"/>
          <w:bCs/>
          <w:sz w:val="14"/>
          <w:szCs w:val="14"/>
        </w:rPr>
      </w:pPr>
    </w:p>
    <w:p w14:paraId="50AB5A54" w14:textId="77777777" w:rsidR="002A73F8" w:rsidRPr="00AF0BE7" w:rsidRDefault="002A73F8" w:rsidP="002A73F8">
      <w:pPr>
        <w:pStyle w:val="Kopfzeile"/>
        <w:pBdr>
          <w:bottom w:val="single" w:sz="12" w:space="1" w:color="auto"/>
        </w:pBdr>
        <w:tabs>
          <w:tab w:val="clear" w:pos="4536"/>
          <w:tab w:val="clear" w:pos="9072"/>
        </w:tabs>
        <w:jc w:val="center"/>
        <w:rPr>
          <w:rFonts w:ascii="Arial" w:hAnsi="Arial" w:cs="Arial"/>
          <w:bCs/>
          <w:sz w:val="14"/>
          <w:szCs w:val="14"/>
        </w:rPr>
      </w:pPr>
      <w:r w:rsidRPr="00AF0BE7">
        <w:rPr>
          <w:rFonts w:ascii="Arial" w:hAnsi="Arial" w:cs="Arial"/>
          <w:bCs/>
          <w:sz w:val="14"/>
          <w:szCs w:val="14"/>
        </w:rPr>
        <w:t xml:space="preserve">Geschäftsstelle LAG Hümmling, </w:t>
      </w:r>
      <w:r w:rsidR="00F4009A">
        <w:rPr>
          <w:rFonts w:ascii="Arial" w:hAnsi="Arial" w:cs="Arial"/>
          <w:bCs/>
          <w:sz w:val="14"/>
          <w:szCs w:val="14"/>
        </w:rPr>
        <w:t xml:space="preserve">Samtgemeinde </w:t>
      </w:r>
      <w:r w:rsidR="00B0206B">
        <w:rPr>
          <w:rFonts w:ascii="Arial" w:hAnsi="Arial" w:cs="Arial"/>
          <w:bCs/>
          <w:sz w:val="14"/>
          <w:szCs w:val="14"/>
        </w:rPr>
        <w:t>Sögel</w:t>
      </w:r>
      <w:r w:rsidR="00F4009A">
        <w:rPr>
          <w:rFonts w:ascii="Arial" w:hAnsi="Arial" w:cs="Arial"/>
          <w:bCs/>
          <w:sz w:val="14"/>
          <w:szCs w:val="14"/>
        </w:rPr>
        <w:t>, Rathaus</w:t>
      </w:r>
      <w:r w:rsidR="00CF515C">
        <w:rPr>
          <w:rFonts w:ascii="Arial" w:hAnsi="Arial" w:cs="Arial"/>
          <w:bCs/>
          <w:sz w:val="14"/>
          <w:szCs w:val="14"/>
        </w:rPr>
        <w:t xml:space="preserve"> Sögel</w:t>
      </w:r>
      <w:r w:rsidR="00F4009A">
        <w:rPr>
          <w:rFonts w:ascii="Arial" w:hAnsi="Arial" w:cs="Arial"/>
          <w:bCs/>
          <w:sz w:val="14"/>
          <w:szCs w:val="14"/>
        </w:rPr>
        <w:t xml:space="preserve">, </w:t>
      </w:r>
      <w:r w:rsidR="00B0206B">
        <w:rPr>
          <w:rFonts w:ascii="Arial" w:hAnsi="Arial" w:cs="Arial"/>
          <w:bCs/>
          <w:sz w:val="14"/>
          <w:szCs w:val="14"/>
        </w:rPr>
        <w:t>Ludmillenhof</w:t>
      </w:r>
      <w:r w:rsidR="00F4009A">
        <w:rPr>
          <w:rFonts w:ascii="Arial" w:hAnsi="Arial" w:cs="Arial"/>
          <w:bCs/>
          <w:sz w:val="14"/>
          <w:szCs w:val="14"/>
        </w:rPr>
        <w:t xml:space="preserve">, </w:t>
      </w:r>
      <w:r w:rsidR="00B0206B">
        <w:rPr>
          <w:rFonts w:ascii="Arial" w:hAnsi="Arial" w:cs="Arial"/>
          <w:bCs/>
          <w:sz w:val="14"/>
          <w:szCs w:val="14"/>
        </w:rPr>
        <w:t>49751 Sögel</w:t>
      </w:r>
    </w:p>
    <w:p w14:paraId="58B535C3" w14:textId="00F08F3D" w:rsidR="002A73F8" w:rsidRDefault="002A73F8" w:rsidP="002A73F8">
      <w:pPr>
        <w:tabs>
          <w:tab w:val="left" w:pos="5954"/>
          <w:tab w:val="left" w:pos="7797"/>
        </w:tabs>
        <w:ind w:right="-1"/>
        <w:rPr>
          <w:rFonts w:ascii="Arial" w:hAnsi="Arial" w:cs="Arial"/>
          <w:sz w:val="24"/>
        </w:rPr>
      </w:pPr>
    </w:p>
    <w:p w14:paraId="4169DB3C" w14:textId="740236C4" w:rsidR="0022654A" w:rsidRDefault="0022654A" w:rsidP="00A945F4">
      <w:pPr>
        <w:tabs>
          <w:tab w:val="left" w:pos="1701"/>
          <w:tab w:val="left" w:pos="3402"/>
          <w:tab w:val="left" w:pos="5670"/>
        </w:tabs>
        <w:spacing w:line="276" w:lineRule="auto"/>
        <w:jc w:val="both"/>
        <w:rPr>
          <w:rFonts w:ascii="Arial" w:hAnsi="Arial" w:cs="Arial"/>
          <w:sz w:val="22"/>
          <w:szCs w:val="22"/>
        </w:rPr>
      </w:pPr>
    </w:p>
    <w:p w14:paraId="13FBEF9F" w14:textId="74B90053" w:rsidR="00256C84" w:rsidRDefault="00DE7002" w:rsidP="00A945F4">
      <w:pPr>
        <w:tabs>
          <w:tab w:val="left" w:pos="1701"/>
          <w:tab w:val="left" w:pos="3402"/>
          <w:tab w:val="left" w:pos="5670"/>
        </w:tabs>
        <w:spacing w:line="276" w:lineRule="auto"/>
        <w:jc w:val="both"/>
        <w:rPr>
          <w:rFonts w:ascii="Arial" w:hAnsi="Arial" w:cs="Arial"/>
          <w:sz w:val="22"/>
          <w:szCs w:val="22"/>
        </w:rPr>
      </w:pPr>
      <w:r>
        <w:rPr>
          <w:rFonts w:ascii="Arial" w:hAnsi="Arial" w:cs="Arial"/>
          <w:noProof/>
          <w:sz w:val="22"/>
          <w:szCs w:val="22"/>
        </w:rPr>
        <w:drawing>
          <wp:inline distT="0" distB="0" distL="0" distR="0" wp14:anchorId="784E6B42" wp14:editId="0E609914">
            <wp:extent cx="6210300" cy="826770"/>
            <wp:effectExtent l="0" t="0" r="0" b="0"/>
            <wp:docPr id="564246781"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46781" name="Grafik 1" descr="Ein Bild, das Text, Schrift, Screenshot, Logo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10300" cy="826770"/>
                    </a:xfrm>
                    <a:prstGeom prst="rect">
                      <a:avLst/>
                    </a:prstGeom>
                  </pic:spPr>
                </pic:pic>
              </a:graphicData>
            </a:graphic>
          </wp:inline>
        </w:drawing>
      </w:r>
    </w:p>
    <w:p w14:paraId="66C30F84" w14:textId="77777777" w:rsidR="00256C84" w:rsidRDefault="00256C84" w:rsidP="00A945F4">
      <w:pPr>
        <w:tabs>
          <w:tab w:val="left" w:pos="1701"/>
          <w:tab w:val="left" w:pos="3402"/>
          <w:tab w:val="left" w:pos="5670"/>
        </w:tabs>
        <w:spacing w:line="276" w:lineRule="auto"/>
        <w:jc w:val="both"/>
        <w:rPr>
          <w:rFonts w:ascii="Arial" w:hAnsi="Arial" w:cs="Arial"/>
          <w:sz w:val="22"/>
          <w:szCs w:val="22"/>
        </w:rPr>
      </w:pPr>
    </w:p>
    <w:p w14:paraId="34300665" w14:textId="35B610D3" w:rsidR="00DF1A76" w:rsidRDefault="00DF1A76" w:rsidP="00A945F4">
      <w:pPr>
        <w:tabs>
          <w:tab w:val="left" w:pos="1701"/>
          <w:tab w:val="left" w:pos="3402"/>
          <w:tab w:val="left" w:pos="5670"/>
        </w:tabs>
        <w:spacing w:line="276" w:lineRule="auto"/>
        <w:jc w:val="both"/>
        <w:rPr>
          <w:rFonts w:ascii="Arial" w:hAnsi="Arial" w:cs="Arial"/>
          <w:sz w:val="22"/>
          <w:szCs w:val="22"/>
        </w:rPr>
      </w:pPr>
      <w:r>
        <w:rPr>
          <w:rFonts w:ascii="Arial" w:hAnsi="Arial" w:cs="Arial"/>
          <w:sz w:val="22"/>
          <w:szCs w:val="22"/>
        </w:rPr>
        <w:t xml:space="preserve">Pressebericht LAG-Sitzung vom </w:t>
      </w:r>
      <w:r w:rsidR="00805833">
        <w:rPr>
          <w:rFonts w:ascii="Arial" w:hAnsi="Arial" w:cs="Arial"/>
          <w:sz w:val="22"/>
          <w:szCs w:val="22"/>
        </w:rPr>
        <w:t>11.02.2025 in Esterwegen, Informationszentrum</w:t>
      </w:r>
    </w:p>
    <w:p w14:paraId="11C120A7" w14:textId="28F9AB93" w:rsidR="00DF1A76" w:rsidRDefault="00DF1A76" w:rsidP="00A945F4">
      <w:pPr>
        <w:tabs>
          <w:tab w:val="left" w:pos="1701"/>
          <w:tab w:val="left" w:pos="3402"/>
          <w:tab w:val="left" w:pos="5670"/>
        </w:tabs>
        <w:spacing w:line="276" w:lineRule="auto"/>
        <w:jc w:val="both"/>
        <w:rPr>
          <w:rFonts w:ascii="Arial" w:hAnsi="Arial" w:cs="Arial"/>
          <w:sz w:val="22"/>
          <w:szCs w:val="22"/>
        </w:rPr>
      </w:pPr>
    </w:p>
    <w:p w14:paraId="08BF1CC2" w14:textId="3FF6A659" w:rsidR="00805833" w:rsidRDefault="00CE22C1" w:rsidP="00A945F4">
      <w:pPr>
        <w:tabs>
          <w:tab w:val="left" w:pos="1701"/>
          <w:tab w:val="left" w:pos="3402"/>
          <w:tab w:val="left" w:pos="5670"/>
        </w:tabs>
        <w:spacing w:line="276" w:lineRule="auto"/>
        <w:jc w:val="both"/>
        <w:rPr>
          <w:rFonts w:ascii="Arial" w:hAnsi="Arial" w:cs="Arial"/>
          <w:sz w:val="22"/>
          <w:szCs w:val="22"/>
        </w:rPr>
      </w:pPr>
      <w:r>
        <w:rPr>
          <w:rFonts w:ascii="Arial" w:hAnsi="Arial" w:cs="Arial"/>
          <w:sz w:val="22"/>
          <w:szCs w:val="22"/>
        </w:rPr>
        <w:t xml:space="preserve">Lokale Aktionsgruppe (LAG) Hümmling </w:t>
      </w:r>
      <w:r w:rsidR="00805833">
        <w:rPr>
          <w:rFonts w:ascii="Arial" w:hAnsi="Arial" w:cs="Arial"/>
          <w:sz w:val="22"/>
          <w:szCs w:val="22"/>
        </w:rPr>
        <w:t xml:space="preserve">unterstützt weitere drei Projekte in Höhe von insgesamt 150.000 € - NABU Werlte / Sögel und der Landkreis Emsland profitieren von EU-Mitteln </w:t>
      </w:r>
    </w:p>
    <w:p w14:paraId="05F053D8" w14:textId="77777777" w:rsidR="00805833" w:rsidRDefault="00805833" w:rsidP="00A945F4">
      <w:pPr>
        <w:tabs>
          <w:tab w:val="left" w:pos="1701"/>
          <w:tab w:val="left" w:pos="3402"/>
          <w:tab w:val="left" w:pos="5670"/>
        </w:tabs>
        <w:spacing w:line="276" w:lineRule="auto"/>
        <w:jc w:val="both"/>
        <w:rPr>
          <w:rFonts w:ascii="Arial" w:hAnsi="Arial" w:cs="Arial"/>
          <w:sz w:val="22"/>
          <w:szCs w:val="22"/>
        </w:rPr>
      </w:pPr>
    </w:p>
    <w:p w14:paraId="5FBF661C" w14:textId="5820308A" w:rsidR="00DF1A76" w:rsidRDefault="00805833" w:rsidP="00A945F4">
      <w:pPr>
        <w:tabs>
          <w:tab w:val="left" w:pos="1701"/>
          <w:tab w:val="left" w:pos="3402"/>
          <w:tab w:val="left" w:pos="5670"/>
        </w:tabs>
        <w:spacing w:line="276" w:lineRule="auto"/>
        <w:jc w:val="both"/>
        <w:rPr>
          <w:rFonts w:ascii="Arial" w:hAnsi="Arial" w:cs="Arial"/>
          <w:sz w:val="22"/>
          <w:szCs w:val="22"/>
        </w:rPr>
      </w:pPr>
      <w:r>
        <w:rPr>
          <w:rFonts w:ascii="Arial" w:hAnsi="Arial" w:cs="Arial"/>
          <w:sz w:val="22"/>
          <w:szCs w:val="22"/>
        </w:rPr>
        <w:t>In der jüngsten Sitzung der LAG-Hümmling standen weitere Projekte zur Beratung auf der Tagesordnung. Darunter befand sich ein Projekt des Naturschutzbundes (NABU) Werlte/Sögel. Das Konzept sieht vor, eine Feldscheune in Werlte-Wehm zu restaurieren und als Brutbiotop für bedrohte Arten zu entwickeln. „Feldscheunen wurden insbesondere in früheren Zeiten als Weideunterstände genutzt und prägten das Landschaftsbild in der Region Hümmling“, so Andreas Schüring vom NABU. Eingebunden mit ehrenamtlichen Leistungen in die Projektumsetzung werden die KLJB und die Dorfgemeinschaft Wehm. Da die Scheune am ausgeschilderten Fahrradknotenpunktsystem des Landkreises Emsland liegt, können sowohl Einheimische als auch Touristen von diesem Projekt profitieren und sich anhand von Infotafeln vor Ort über Feldscheunen informieren lassen.</w:t>
      </w:r>
    </w:p>
    <w:p w14:paraId="37A3C029" w14:textId="14B65E57" w:rsidR="00805833" w:rsidRDefault="00805833" w:rsidP="00A945F4">
      <w:pPr>
        <w:tabs>
          <w:tab w:val="left" w:pos="1701"/>
          <w:tab w:val="left" w:pos="3402"/>
          <w:tab w:val="left" w:pos="5670"/>
        </w:tabs>
        <w:spacing w:line="276" w:lineRule="auto"/>
        <w:jc w:val="both"/>
        <w:rPr>
          <w:rFonts w:ascii="Arial" w:hAnsi="Arial" w:cs="Arial"/>
          <w:sz w:val="22"/>
          <w:szCs w:val="22"/>
        </w:rPr>
      </w:pPr>
      <w:r>
        <w:rPr>
          <w:rFonts w:ascii="Arial" w:hAnsi="Arial" w:cs="Arial"/>
          <w:sz w:val="22"/>
          <w:szCs w:val="22"/>
        </w:rPr>
        <w:t>Bei den weiteren Projekten handelt es sich um zwei Kooperationsprojekte, die durch Uwe Carli, Geschäftsführer der Emsland Tourismus GmbH vorgestellt wurden. Eine der Kooperationen sieht die Schaffung von FrauenPunkten in den beteiligten Regionen vor. Damit sollen Frauenkultur und Frauengeschichten aufgearbeitet und kulturtouristisch erlebbar gemacht werden. „</w:t>
      </w:r>
      <w:r w:rsidR="00C623F7">
        <w:rPr>
          <w:rFonts w:ascii="Arial" w:hAnsi="Arial" w:cs="Arial"/>
          <w:sz w:val="22"/>
          <w:szCs w:val="22"/>
        </w:rPr>
        <w:t>So werden Frauenpersönlichkeiten und deren Wirken sichtbarer gemacht und die Aufmerksamkeit und Wertschätzung der Besucher werden gesteigert“, erläuterte Carli.</w:t>
      </w:r>
    </w:p>
    <w:p w14:paraId="76FF39B8" w14:textId="7473AAAE" w:rsidR="00805833" w:rsidRDefault="00C623F7" w:rsidP="00A945F4">
      <w:pPr>
        <w:tabs>
          <w:tab w:val="left" w:pos="1701"/>
          <w:tab w:val="left" w:pos="3402"/>
          <w:tab w:val="left" w:pos="5670"/>
        </w:tabs>
        <w:spacing w:line="276" w:lineRule="auto"/>
        <w:jc w:val="both"/>
        <w:rPr>
          <w:rFonts w:ascii="Arial" w:hAnsi="Arial" w:cs="Arial"/>
          <w:sz w:val="22"/>
          <w:szCs w:val="22"/>
        </w:rPr>
      </w:pPr>
      <w:r>
        <w:rPr>
          <w:rFonts w:ascii="Arial" w:hAnsi="Arial" w:cs="Arial"/>
          <w:sz w:val="22"/>
          <w:szCs w:val="22"/>
        </w:rPr>
        <w:t>In einem zweiten Projekt des Landkreises Emsland erfolgt eine Aufwertung entlang des bestehenden Radwegesystems. Carli:“ Für eine hochwertige Radinfrastruktur sind nicht nur gut ausgebaute Wege und ein klar ausgeschildertes Wegenetz entscheidend, sondern auch ausreichend Schutz- und Rastmöglichkeiten“. Viele Strecken des touristischen Radwegenetzes sind deckungsgleich mit dem Netz des Alltagsverkehrs. Somit kann auch die mit dem Rad pendelnde Bevölkerung diese neuen Möblierung nutzen.</w:t>
      </w:r>
    </w:p>
    <w:p w14:paraId="60984BCB" w14:textId="3F0C478A" w:rsidR="00805833" w:rsidRDefault="005B3BE9" w:rsidP="00A945F4">
      <w:pPr>
        <w:tabs>
          <w:tab w:val="left" w:pos="1701"/>
          <w:tab w:val="left" w:pos="3402"/>
          <w:tab w:val="left" w:pos="5670"/>
        </w:tabs>
        <w:spacing w:line="276" w:lineRule="auto"/>
        <w:jc w:val="both"/>
        <w:rPr>
          <w:rFonts w:ascii="Arial" w:hAnsi="Arial" w:cs="Arial"/>
          <w:sz w:val="22"/>
          <w:szCs w:val="22"/>
        </w:rPr>
      </w:pPr>
      <w:r>
        <w:rPr>
          <w:rFonts w:ascii="Arial" w:hAnsi="Arial" w:cs="Arial"/>
          <w:sz w:val="22"/>
          <w:szCs w:val="22"/>
        </w:rPr>
        <w:t>Im Verlauf der Sitzung informierte Regionalmanager Ralph Deitermann über den aktuellen Stand der LEADER-Förderung in der Region Hümmling. Bislang noch freie Mittel der „alten“ EU-Förderperiode 2014 – 2022 konnten nun gebunden werden. Zielstellung ist, diese noch laufenden Projekte bis Mitte 2025 fertigzustellen und abzurechnen. Auch in der aktuelle</w:t>
      </w:r>
      <w:r w:rsidR="00A836AD">
        <w:rPr>
          <w:rFonts w:ascii="Arial" w:hAnsi="Arial" w:cs="Arial"/>
          <w:sz w:val="22"/>
          <w:szCs w:val="22"/>
        </w:rPr>
        <w:t>n</w:t>
      </w:r>
      <w:r>
        <w:rPr>
          <w:rFonts w:ascii="Arial" w:hAnsi="Arial" w:cs="Arial"/>
          <w:sz w:val="22"/>
          <w:szCs w:val="22"/>
        </w:rPr>
        <w:t xml:space="preserve"> Förderperiode 2023 – 2027 sind der Großteil des Mittelbudgets für Projekte</w:t>
      </w:r>
      <w:r w:rsidR="00A836AD">
        <w:rPr>
          <w:rFonts w:ascii="Arial" w:hAnsi="Arial" w:cs="Arial"/>
          <w:sz w:val="22"/>
          <w:szCs w:val="22"/>
        </w:rPr>
        <w:t xml:space="preserve"> gebunden. Zur Verfügung stehen noch rd. 330.000 €. Erste Maßnahmenvorschläge liegen dem Regionalmanagement für die anstehenden LAG-Sitzung schon vor.</w:t>
      </w:r>
    </w:p>
    <w:p w14:paraId="35C902DD" w14:textId="7F2F345B" w:rsidR="005B3BE9" w:rsidRDefault="00A836AD" w:rsidP="00A945F4">
      <w:pPr>
        <w:tabs>
          <w:tab w:val="left" w:pos="1701"/>
          <w:tab w:val="left" w:pos="3402"/>
          <w:tab w:val="left" w:pos="5670"/>
        </w:tabs>
        <w:spacing w:line="276" w:lineRule="auto"/>
        <w:jc w:val="both"/>
        <w:rPr>
          <w:rFonts w:ascii="Arial" w:hAnsi="Arial" w:cs="Arial"/>
          <w:sz w:val="22"/>
          <w:szCs w:val="22"/>
        </w:rPr>
      </w:pPr>
      <w:r>
        <w:rPr>
          <w:rFonts w:ascii="Arial" w:hAnsi="Arial" w:cs="Arial"/>
          <w:sz w:val="22"/>
          <w:szCs w:val="22"/>
        </w:rPr>
        <w:t>Die nächste Sitzung der LAG Hümmling findet am 17.03.2025 statt. In diesem Rahmen erfolgt auch ein Strategieworkshop, in der der aktuelle Umsetzungsstand der Region überprüft wird. Neuigkeiten und Informationen zu den Maßnahmen und Terminen der LAG Hümmling finden sich auf der Homepage unter www.leader-huemmling.de.</w:t>
      </w:r>
    </w:p>
    <w:p w14:paraId="5ADC9F15" w14:textId="77777777" w:rsidR="00E91ECA" w:rsidRDefault="00E91ECA" w:rsidP="00A945F4">
      <w:pPr>
        <w:tabs>
          <w:tab w:val="left" w:pos="1701"/>
          <w:tab w:val="left" w:pos="3402"/>
          <w:tab w:val="left" w:pos="5670"/>
        </w:tabs>
        <w:spacing w:line="276" w:lineRule="auto"/>
        <w:jc w:val="both"/>
        <w:rPr>
          <w:rFonts w:ascii="Arial" w:hAnsi="Arial" w:cs="Arial"/>
          <w:sz w:val="22"/>
          <w:szCs w:val="22"/>
        </w:rPr>
      </w:pPr>
    </w:p>
    <w:sectPr w:rsidR="00E91ECA" w:rsidSect="002A73F8">
      <w:footerReference w:type="first" r:id="rId16"/>
      <w:pgSz w:w="11907" w:h="16840"/>
      <w:pgMar w:top="357" w:right="851" w:bottom="851" w:left="1276" w:header="720" w:footer="845"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D39BA" w14:textId="77777777" w:rsidR="00023A17" w:rsidRDefault="00023A17" w:rsidP="001F767F">
      <w:pPr>
        <w:pStyle w:val="Fuzeile"/>
      </w:pPr>
      <w:r>
        <w:separator/>
      </w:r>
    </w:p>
  </w:endnote>
  <w:endnote w:type="continuationSeparator" w:id="0">
    <w:p w14:paraId="2DF10676" w14:textId="77777777" w:rsidR="00023A17" w:rsidRDefault="00023A17" w:rsidP="001F767F">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6DEF" w14:textId="77777777" w:rsidR="003B0A93" w:rsidRDefault="003B0A93">
    <w:pPr>
      <w:pStyle w:val="Fuzeile"/>
      <w:tabs>
        <w:tab w:val="clear" w:pos="4536"/>
        <w:tab w:val="left" w:pos="1276"/>
        <w:tab w:val="left" w:pos="3402"/>
        <w:tab w:val="left" w:pos="4570"/>
        <w:tab w:val="left" w:pos="4820"/>
        <w:tab w:val="left" w:pos="5529"/>
      </w:tabs>
      <w:ind w:right="-993"/>
      <w:rPr>
        <w:b/>
        <w:sz w:val="14"/>
      </w:rPr>
    </w:pPr>
    <w:r>
      <w:rPr>
        <w:b/>
        <w:sz w:val="14"/>
      </w:rPr>
      <w:t>Hausadresse</w:t>
    </w:r>
    <w:r>
      <w:rPr>
        <w:sz w:val="18"/>
      </w:rPr>
      <w:tab/>
    </w:r>
    <w:r>
      <w:rPr>
        <w:b/>
        <w:sz w:val="14"/>
      </w:rPr>
      <w:t>Sprechzeiten:</w:t>
    </w:r>
    <w:r>
      <w:rPr>
        <w:b/>
        <w:sz w:val="14"/>
      </w:rPr>
      <w:tab/>
    </w:r>
    <w:r>
      <w:rPr>
        <w:sz w:val="14"/>
      </w:rPr>
      <w:tab/>
    </w:r>
    <w:r>
      <w:rPr>
        <w:sz w:val="14"/>
      </w:rPr>
      <w:tab/>
    </w:r>
    <w:r>
      <w:rPr>
        <w:sz w:val="14"/>
      </w:rPr>
      <w:tab/>
    </w:r>
    <w:r>
      <w:rPr>
        <w:b/>
        <w:sz w:val="14"/>
      </w:rPr>
      <w:t xml:space="preserve">Konten der Samtgemeindekasse: </w:t>
    </w:r>
    <w:r>
      <w:rPr>
        <w:b/>
        <w:sz w:val="14"/>
      </w:rPr>
      <w:tab/>
    </w:r>
  </w:p>
  <w:p w14:paraId="71C51BA6" w14:textId="77777777" w:rsidR="003B0A93" w:rsidRDefault="003B0A93">
    <w:pPr>
      <w:pStyle w:val="Fuzeile"/>
      <w:tabs>
        <w:tab w:val="clear" w:pos="4536"/>
        <w:tab w:val="left" w:pos="1276"/>
        <w:tab w:val="left" w:pos="2694"/>
        <w:tab w:val="center" w:pos="3969"/>
        <w:tab w:val="left" w:pos="4820"/>
        <w:tab w:val="left" w:pos="5529"/>
        <w:tab w:val="left" w:pos="7655"/>
      </w:tabs>
      <w:ind w:right="-993"/>
      <w:rPr>
        <w:sz w:val="14"/>
      </w:rPr>
    </w:pPr>
    <w:r>
      <w:rPr>
        <w:sz w:val="14"/>
      </w:rPr>
      <w:t xml:space="preserve">Rathaus </w:t>
    </w:r>
    <w:r>
      <w:rPr>
        <w:sz w:val="14"/>
      </w:rPr>
      <w:tab/>
      <w:t>montags bis mittwochs:</w:t>
    </w:r>
    <w:r>
      <w:rPr>
        <w:sz w:val="14"/>
      </w:rPr>
      <w:tab/>
      <w:t>8.15 Uhr – 12.30 Uhr u. 14.00 Uhr – 16.30 Uhr</w:t>
    </w:r>
    <w:r>
      <w:rPr>
        <w:sz w:val="14"/>
      </w:rPr>
      <w:tab/>
      <w:t>Sparkasse Werlte</w:t>
    </w:r>
    <w:r>
      <w:rPr>
        <w:sz w:val="14"/>
      </w:rPr>
      <w:tab/>
      <w:t>(BLZ 26650001) Kto-Nr. 40 86 005</w:t>
    </w:r>
  </w:p>
  <w:p w14:paraId="31C2A77E" w14:textId="77777777" w:rsidR="003B0A93" w:rsidRDefault="003B0A93">
    <w:pPr>
      <w:pStyle w:val="Fuzeile"/>
      <w:tabs>
        <w:tab w:val="clear" w:pos="4536"/>
        <w:tab w:val="left" w:pos="1276"/>
        <w:tab w:val="left" w:pos="2694"/>
        <w:tab w:val="center" w:pos="3969"/>
        <w:tab w:val="left" w:pos="4820"/>
        <w:tab w:val="left" w:pos="5529"/>
        <w:tab w:val="left" w:pos="7655"/>
      </w:tabs>
      <w:ind w:right="-993"/>
      <w:rPr>
        <w:sz w:val="14"/>
      </w:rPr>
    </w:pPr>
    <w:r>
      <w:rPr>
        <w:sz w:val="14"/>
      </w:rPr>
      <w:t>Marktstr. 1</w:t>
    </w:r>
    <w:r>
      <w:rPr>
        <w:sz w:val="14"/>
      </w:rPr>
      <w:tab/>
      <w:t>donnerstags:</w:t>
    </w:r>
    <w:r>
      <w:rPr>
        <w:sz w:val="14"/>
      </w:rPr>
      <w:tab/>
      <w:t>8.15 Uhr – 12.30 Uhr u. 14.00 Uhr – 17.30 Uhr</w:t>
    </w:r>
    <w:r>
      <w:rPr>
        <w:sz w:val="14"/>
      </w:rPr>
      <w:tab/>
      <w:t>Hümmlinger Volksbank eG</w:t>
    </w:r>
    <w:r>
      <w:rPr>
        <w:sz w:val="14"/>
      </w:rPr>
      <w:tab/>
      <w:t>(BLZ 28069381) Kto-Nr. 154600</w:t>
    </w:r>
  </w:p>
  <w:p w14:paraId="13A04DBD" w14:textId="77777777" w:rsidR="003B0A93" w:rsidRDefault="003B0A93">
    <w:pPr>
      <w:pStyle w:val="Fuzeile"/>
      <w:tabs>
        <w:tab w:val="clear" w:pos="4536"/>
        <w:tab w:val="left" w:pos="1276"/>
        <w:tab w:val="left" w:pos="2694"/>
        <w:tab w:val="center" w:pos="3969"/>
        <w:tab w:val="left" w:pos="4820"/>
        <w:tab w:val="left" w:pos="5529"/>
        <w:tab w:val="left" w:pos="7655"/>
      </w:tabs>
      <w:ind w:right="-993"/>
      <w:rPr>
        <w:sz w:val="14"/>
      </w:rPr>
    </w:pPr>
    <w:r>
      <w:rPr>
        <w:sz w:val="14"/>
      </w:rPr>
      <w:t>49757 Werlte</w:t>
    </w:r>
    <w:r>
      <w:rPr>
        <w:sz w:val="14"/>
      </w:rPr>
      <w:tab/>
      <w:t>freitags:</w:t>
    </w:r>
    <w:r>
      <w:rPr>
        <w:sz w:val="14"/>
      </w:rPr>
      <w:tab/>
      <w:t>8.15 Uhr – 12.30 Uhr</w:t>
    </w:r>
    <w:r>
      <w:rPr>
        <w:sz w:val="14"/>
      </w:rPr>
      <w:tab/>
    </w:r>
    <w:r>
      <w:rPr>
        <w:sz w:val="14"/>
      </w:rPr>
      <w:tab/>
    </w:r>
    <w:r>
      <w:rPr>
        <w:sz w:val="14"/>
      </w:rPr>
      <w:tab/>
      <w:t>Oldenburgische Landesbank Werlte</w:t>
    </w:r>
    <w:r>
      <w:rPr>
        <w:sz w:val="14"/>
      </w:rPr>
      <w:tab/>
      <w:t>(BLZ 28021504) Kto-Nr. 3245397900</w:t>
    </w:r>
  </w:p>
  <w:p w14:paraId="07D311A6" w14:textId="77777777" w:rsidR="003B0A93" w:rsidRDefault="003B0A93">
    <w:pPr>
      <w:pStyle w:val="Fuzeile"/>
      <w:tabs>
        <w:tab w:val="clear" w:pos="4536"/>
        <w:tab w:val="left" w:pos="1276"/>
        <w:tab w:val="left" w:pos="2552"/>
        <w:tab w:val="center" w:pos="3969"/>
        <w:tab w:val="center" w:pos="4395"/>
        <w:tab w:val="left" w:pos="4820"/>
        <w:tab w:val="left" w:pos="5529"/>
        <w:tab w:val="left" w:pos="7655"/>
      </w:tabs>
      <w:ind w:right="-993"/>
      <w:rPr>
        <w:sz w:val="14"/>
      </w:rPr>
    </w:pPr>
    <w:r>
      <w:rPr>
        <w:sz w:val="14"/>
      </w:rPr>
      <w:tab/>
    </w:r>
    <w:r>
      <w:rPr>
        <w:b/>
        <w:sz w:val="14"/>
      </w:rPr>
      <w:t>Sozialamt:</w:t>
    </w:r>
    <w:r>
      <w:rPr>
        <w:sz w:val="14"/>
      </w:rPr>
      <w:tab/>
    </w:r>
    <w:r>
      <w:rPr>
        <w:sz w:val="14"/>
      </w:rPr>
      <w:tab/>
    </w:r>
    <w:r>
      <w:rPr>
        <w:sz w:val="14"/>
      </w:rPr>
      <w:tab/>
    </w:r>
    <w:r>
      <w:rPr>
        <w:sz w:val="14"/>
      </w:rPr>
      <w:tab/>
    </w:r>
    <w:r>
      <w:rPr>
        <w:sz w:val="14"/>
      </w:rPr>
      <w:tab/>
      <w:t>Raiffeisenbank Lorup</w:t>
    </w:r>
    <w:r>
      <w:rPr>
        <w:sz w:val="14"/>
      </w:rPr>
      <w:tab/>
      <w:t>(BLZ 28069935) Kto-Nr. 341700</w:t>
    </w:r>
  </w:p>
  <w:p w14:paraId="4758B371" w14:textId="77777777" w:rsidR="003B0A93" w:rsidRDefault="003B0A93">
    <w:pPr>
      <w:pStyle w:val="Fuzeile"/>
      <w:tabs>
        <w:tab w:val="clear" w:pos="4536"/>
        <w:tab w:val="left" w:pos="1276"/>
        <w:tab w:val="left" w:pos="2552"/>
        <w:tab w:val="left" w:pos="4820"/>
        <w:tab w:val="left" w:pos="5529"/>
        <w:tab w:val="left" w:pos="7655"/>
      </w:tabs>
      <w:ind w:right="-993"/>
      <w:rPr>
        <w:sz w:val="14"/>
      </w:rPr>
    </w:pPr>
    <w:r>
      <w:rPr>
        <w:sz w:val="14"/>
      </w:rPr>
      <w:tab/>
      <w:t>montags – donnerstags:   8.15 Uhr – 12.30 Uhr</w:t>
    </w:r>
    <w:r>
      <w:rPr>
        <w:sz w:val="14"/>
      </w:rPr>
      <w:tab/>
    </w:r>
    <w:r>
      <w:rPr>
        <w:sz w:val="14"/>
      </w:rPr>
      <w:tab/>
      <w:t>Postgiroamt Hannover</w:t>
    </w:r>
    <w:r>
      <w:rPr>
        <w:sz w:val="14"/>
      </w:rPr>
      <w:tab/>
      <w:t>(BLZ 25010030) Kto-Nr. 43848-302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7DEAC" w14:textId="77777777" w:rsidR="00023A17" w:rsidRDefault="00023A17" w:rsidP="001F767F">
      <w:pPr>
        <w:pStyle w:val="Fuzeile"/>
      </w:pPr>
      <w:r>
        <w:separator/>
      </w:r>
    </w:p>
  </w:footnote>
  <w:footnote w:type="continuationSeparator" w:id="0">
    <w:p w14:paraId="7A63C177" w14:textId="77777777" w:rsidR="00023A17" w:rsidRDefault="00023A17" w:rsidP="001F767F">
      <w:pPr>
        <w:pStyle w:val="Fuzei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35796"/>
    <w:multiLevelType w:val="hybridMultilevel"/>
    <w:tmpl w:val="C8028D76"/>
    <w:lvl w:ilvl="0" w:tplc="0407000B">
      <w:start w:val="1"/>
      <w:numFmt w:val="bullet"/>
      <w:lvlText w:val=""/>
      <w:lvlJc w:val="left"/>
      <w:pPr>
        <w:ind w:left="1000" w:hanging="360"/>
      </w:pPr>
      <w:rPr>
        <w:rFonts w:ascii="Wingdings" w:hAnsi="Wingdings" w:hint="default"/>
      </w:rPr>
    </w:lvl>
    <w:lvl w:ilvl="1" w:tplc="04070003" w:tentative="1">
      <w:start w:val="1"/>
      <w:numFmt w:val="bullet"/>
      <w:lvlText w:val="o"/>
      <w:lvlJc w:val="left"/>
      <w:pPr>
        <w:ind w:left="1720" w:hanging="360"/>
      </w:pPr>
      <w:rPr>
        <w:rFonts w:ascii="Courier New" w:hAnsi="Courier New" w:cs="Courier New" w:hint="default"/>
      </w:rPr>
    </w:lvl>
    <w:lvl w:ilvl="2" w:tplc="04070005" w:tentative="1">
      <w:start w:val="1"/>
      <w:numFmt w:val="bullet"/>
      <w:lvlText w:val=""/>
      <w:lvlJc w:val="left"/>
      <w:pPr>
        <w:ind w:left="2440" w:hanging="360"/>
      </w:pPr>
      <w:rPr>
        <w:rFonts w:ascii="Wingdings" w:hAnsi="Wingdings" w:hint="default"/>
      </w:rPr>
    </w:lvl>
    <w:lvl w:ilvl="3" w:tplc="04070001" w:tentative="1">
      <w:start w:val="1"/>
      <w:numFmt w:val="bullet"/>
      <w:lvlText w:val=""/>
      <w:lvlJc w:val="left"/>
      <w:pPr>
        <w:ind w:left="3160" w:hanging="360"/>
      </w:pPr>
      <w:rPr>
        <w:rFonts w:ascii="Symbol" w:hAnsi="Symbol" w:hint="default"/>
      </w:rPr>
    </w:lvl>
    <w:lvl w:ilvl="4" w:tplc="04070003" w:tentative="1">
      <w:start w:val="1"/>
      <w:numFmt w:val="bullet"/>
      <w:lvlText w:val="o"/>
      <w:lvlJc w:val="left"/>
      <w:pPr>
        <w:ind w:left="3880" w:hanging="360"/>
      </w:pPr>
      <w:rPr>
        <w:rFonts w:ascii="Courier New" w:hAnsi="Courier New" w:cs="Courier New" w:hint="default"/>
      </w:rPr>
    </w:lvl>
    <w:lvl w:ilvl="5" w:tplc="04070005" w:tentative="1">
      <w:start w:val="1"/>
      <w:numFmt w:val="bullet"/>
      <w:lvlText w:val=""/>
      <w:lvlJc w:val="left"/>
      <w:pPr>
        <w:ind w:left="4600" w:hanging="360"/>
      </w:pPr>
      <w:rPr>
        <w:rFonts w:ascii="Wingdings" w:hAnsi="Wingdings" w:hint="default"/>
      </w:rPr>
    </w:lvl>
    <w:lvl w:ilvl="6" w:tplc="04070001" w:tentative="1">
      <w:start w:val="1"/>
      <w:numFmt w:val="bullet"/>
      <w:lvlText w:val=""/>
      <w:lvlJc w:val="left"/>
      <w:pPr>
        <w:ind w:left="5320" w:hanging="360"/>
      </w:pPr>
      <w:rPr>
        <w:rFonts w:ascii="Symbol" w:hAnsi="Symbol" w:hint="default"/>
      </w:rPr>
    </w:lvl>
    <w:lvl w:ilvl="7" w:tplc="04070003" w:tentative="1">
      <w:start w:val="1"/>
      <w:numFmt w:val="bullet"/>
      <w:lvlText w:val="o"/>
      <w:lvlJc w:val="left"/>
      <w:pPr>
        <w:ind w:left="6040" w:hanging="360"/>
      </w:pPr>
      <w:rPr>
        <w:rFonts w:ascii="Courier New" w:hAnsi="Courier New" w:cs="Courier New" w:hint="default"/>
      </w:rPr>
    </w:lvl>
    <w:lvl w:ilvl="8" w:tplc="04070005" w:tentative="1">
      <w:start w:val="1"/>
      <w:numFmt w:val="bullet"/>
      <w:lvlText w:val=""/>
      <w:lvlJc w:val="left"/>
      <w:pPr>
        <w:ind w:left="6760" w:hanging="360"/>
      </w:pPr>
      <w:rPr>
        <w:rFonts w:ascii="Wingdings" w:hAnsi="Wingdings" w:hint="default"/>
      </w:rPr>
    </w:lvl>
  </w:abstractNum>
  <w:abstractNum w:abstractNumId="1" w15:restartNumberingAfterBreak="0">
    <w:nsid w:val="2769296C"/>
    <w:multiLevelType w:val="hybridMultilevel"/>
    <w:tmpl w:val="8D0C918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524A6D"/>
    <w:multiLevelType w:val="hybridMultilevel"/>
    <w:tmpl w:val="102CBE5A"/>
    <w:lvl w:ilvl="0" w:tplc="158E69FA">
      <w:numFmt w:val="bullet"/>
      <w:lvlText w:val="-"/>
      <w:lvlJc w:val="left"/>
      <w:pPr>
        <w:ind w:left="645" w:hanging="360"/>
      </w:pPr>
      <w:rPr>
        <w:rFonts w:ascii="Arial" w:eastAsia="Times New Roman" w:hAnsi="Arial" w:cs="Arial" w:hint="default"/>
      </w:rPr>
    </w:lvl>
    <w:lvl w:ilvl="1" w:tplc="04070003" w:tentative="1">
      <w:start w:val="1"/>
      <w:numFmt w:val="bullet"/>
      <w:lvlText w:val="o"/>
      <w:lvlJc w:val="left"/>
      <w:pPr>
        <w:ind w:left="1365" w:hanging="360"/>
      </w:pPr>
      <w:rPr>
        <w:rFonts w:ascii="Courier New" w:hAnsi="Courier New" w:cs="Courier New" w:hint="default"/>
      </w:rPr>
    </w:lvl>
    <w:lvl w:ilvl="2" w:tplc="04070005" w:tentative="1">
      <w:start w:val="1"/>
      <w:numFmt w:val="bullet"/>
      <w:lvlText w:val=""/>
      <w:lvlJc w:val="left"/>
      <w:pPr>
        <w:ind w:left="2085" w:hanging="360"/>
      </w:pPr>
      <w:rPr>
        <w:rFonts w:ascii="Wingdings" w:hAnsi="Wingdings" w:hint="default"/>
      </w:rPr>
    </w:lvl>
    <w:lvl w:ilvl="3" w:tplc="04070001" w:tentative="1">
      <w:start w:val="1"/>
      <w:numFmt w:val="bullet"/>
      <w:lvlText w:val=""/>
      <w:lvlJc w:val="left"/>
      <w:pPr>
        <w:ind w:left="2805" w:hanging="360"/>
      </w:pPr>
      <w:rPr>
        <w:rFonts w:ascii="Symbol" w:hAnsi="Symbol" w:hint="default"/>
      </w:rPr>
    </w:lvl>
    <w:lvl w:ilvl="4" w:tplc="04070003" w:tentative="1">
      <w:start w:val="1"/>
      <w:numFmt w:val="bullet"/>
      <w:lvlText w:val="o"/>
      <w:lvlJc w:val="left"/>
      <w:pPr>
        <w:ind w:left="3525" w:hanging="360"/>
      </w:pPr>
      <w:rPr>
        <w:rFonts w:ascii="Courier New" w:hAnsi="Courier New" w:cs="Courier New" w:hint="default"/>
      </w:rPr>
    </w:lvl>
    <w:lvl w:ilvl="5" w:tplc="04070005" w:tentative="1">
      <w:start w:val="1"/>
      <w:numFmt w:val="bullet"/>
      <w:lvlText w:val=""/>
      <w:lvlJc w:val="left"/>
      <w:pPr>
        <w:ind w:left="4245" w:hanging="360"/>
      </w:pPr>
      <w:rPr>
        <w:rFonts w:ascii="Wingdings" w:hAnsi="Wingdings" w:hint="default"/>
      </w:rPr>
    </w:lvl>
    <w:lvl w:ilvl="6" w:tplc="04070001" w:tentative="1">
      <w:start w:val="1"/>
      <w:numFmt w:val="bullet"/>
      <w:lvlText w:val=""/>
      <w:lvlJc w:val="left"/>
      <w:pPr>
        <w:ind w:left="4965" w:hanging="360"/>
      </w:pPr>
      <w:rPr>
        <w:rFonts w:ascii="Symbol" w:hAnsi="Symbol" w:hint="default"/>
      </w:rPr>
    </w:lvl>
    <w:lvl w:ilvl="7" w:tplc="04070003" w:tentative="1">
      <w:start w:val="1"/>
      <w:numFmt w:val="bullet"/>
      <w:lvlText w:val="o"/>
      <w:lvlJc w:val="left"/>
      <w:pPr>
        <w:ind w:left="5685" w:hanging="360"/>
      </w:pPr>
      <w:rPr>
        <w:rFonts w:ascii="Courier New" w:hAnsi="Courier New" w:cs="Courier New" w:hint="default"/>
      </w:rPr>
    </w:lvl>
    <w:lvl w:ilvl="8" w:tplc="04070005" w:tentative="1">
      <w:start w:val="1"/>
      <w:numFmt w:val="bullet"/>
      <w:lvlText w:val=""/>
      <w:lvlJc w:val="left"/>
      <w:pPr>
        <w:ind w:left="6405" w:hanging="360"/>
      </w:pPr>
      <w:rPr>
        <w:rFonts w:ascii="Wingdings" w:hAnsi="Wingdings" w:hint="default"/>
      </w:rPr>
    </w:lvl>
  </w:abstractNum>
  <w:abstractNum w:abstractNumId="3" w15:restartNumberingAfterBreak="0">
    <w:nsid w:val="495058CE"/>
    <w:multiLevelType w:val="hybridMultilevel"/>
    <w:tmpl w:val="63289058"/>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74233EB0"/>
    <w:multiLevelType w:val="hybridMultilevel"/>
    <w:tmpl w:val="E57A08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88553812">
    <w:abstractNumId w:val="0"/>
  </w:num>
  <w:num w:numId="2" w16cid:durableId="795684197">
    <w:abstractNumId w:val="2"/>
  </w:num>
  <w:num w:numId="3" w16cid:durableId="837580637">
    <w:abstractNumId w:val="1"/>
  </w:num>
  <w:num w:numId="4" w16cid:durableId="1414428789">
    <w:abstractNumId w:val="3"/>
  </w:num>
  <w:num w:numId="5" w16cid:durableId="1753813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F8"/>
    <w:rsid w:val="00007458"/>
    <w:rsid w:val="0001274B"/>
    <w:rsid w:val="0001394C"/>
    <w:rsid w:val="000210D3"/>
    <w:rsid w:val="00023A17"/>
    <w:rsid w:val="000322EB"/>
    <w:rsid w:val="000352B4"/>
    <w:rsid w:val="00035455"/>
    <w:rsid w:val="00052805"/>
    <w:rsid w:val="00053E5D"/>
    <w:rsid w:val="00055838"/>
    <w:rsid w:val="00055FDE"/>
    <w:rsid w:val="0005740A"/>
    <w:rsid w:val="000612DB"/>
    <w:rsid w:val="00067BF2"/>
    <w:rsid w:val="00071439"/>
    <w:rsid w:val="00097DB9"/>
    <w:rsid w:val="000A0A9C"/>
    <w:rsid w:val="000A10C1"/>
    <w:rsid w:val="000A47C2"/>
    <w:rsid w:val="000A516F"/>
    <w:rsid w:val="000C2914"/>
    <w:rsid w:val="000C4B66"/>
    <w:rsid w:val="000D39A8"/>
    <w:rsid w:val="000E249A"/>
    <w:rsid w:val="000E4C97"/>
    <w:rsid w:val="000F059A"/>
    <w:rsid w:val="000F2A23"/>
    <w:rsid w:val="000F34C3"/>
    <w:rsid w:val="000F511B"/>
    <w:rsid w:val="00100ED6"/>
    <w:rsid w:val="00103E1C"/>
    <w:rsid w:val="00106FF9"/>
    <w:rsid w:val="0011235C"/>
    <w:rsid w:val="00114066"/>
    <w:rsid w:val="00122524"/>
    <w:rsid w:val="00122922"/>
    <w:rsid w:val="00123530"/>
    <w:rsid w:val="00134952"/>
    <w:rsid w:val="00136092"/>
    <w:rsid w:val="001369B7"/>
    <w:rsid w:val="001435CD"/>
    <w:rsid w:val="00145D48"/>
    <w:rsid w:val="00147B4A"/>
    <w:rsid w:val="00153B39"/>
    <w:rsid w:val="0016539A"/>
    <w:rsid w:val="001804E1"/>
    <w:rsid w:val="0019240D"/>
    <w:rsid w:val="001A3EDD"/>
    <w:rsid w:val="001A4FD1"/>
    <w:rsid w:val="001A588D"/>
    <w:rsid w:val="001B1899"/>
    <w:rsid w:val="001B2472"/>
    <w:rsid w:val="001C133D"/>
    <w:rsid w:val="001D228F"/>
    <w:rsid w:val="001D307C"/>
    <w:rsid w:val="001D5EB2"/>
    <w:rsid w:val="001E57AD"/>
    <w:rsid w:val="001F767F"/>
    <w:rsid w:val="00216519"/>
    <w:rsid w:val="002169B6"/>
    <w:rsid w:val="0022237C"/>
    <w:rsid w:val="00224CD6"/>
    <w:rsid w:val="0022654A"/>
    <w:rsid w:val="00227808"/>
    <w:rsid w:val="0024398B"/>
    <w:rsid w:val="002449FE"/>
    <w:rsid w:val="00256C84"/>
    <w:rsid w:val="0026071C"/>
    <w:rsid w:val="0026102E"/>
    <w:rsid w:val="00270B89"/>
    <w:rsid w:val="00271308"/>
    <w:rsid w:val="002738A8"/>
    <w:rsid w:val="00286DB2"/>
    <w:rsid w:val="0028796E"/>
    <w:rsid w:val="00290BBA"/>
    <w:rsid w:val="00297EB5"/>
    <w:rsid w:val="002A5484"/>
    <w:rsid w:val="002A6DC4"/>
    <w:rsid w:val="002A7289"/>
    <w:rsid w:val="002A73F8"/>
    <w:rsid w:val="002D0489"/>
    <w:rsid w:val="002D0A6D"/>
    <w:rsid w:val="002D2B68"/>
    <w:rsid w:val="002D5162"/>
    <w:rsid w:val="002E0B16"/>
    <w:rsid w:val="002E0B3F"/>
    <w:rsid w:val="002F5C97"/>
    <w:rsid w:val="002F5DB4"/>
    <w:rsid w:val="003072CF"/>
    <w:rsid w:val="00310C46"/>
    <w:rsid w:val="00311A50"/>
    <w:rsid w:val="00311F26"/>
    <w:rsid w:val="00324B89"/>
    <w:rsid w:val="00327D52"/>
    <w:rsid w:val="00340CF0"/>
    <w:rsid w:val="00343275"/>
    <w:rsid w:val="00345183"/>
    <w:rsid w:val="003674CD"/>
    <w:rsid w:val="003862BA"/>
    <w:rsid w:val="0039662B"/>
    <w:rsid w:val="003A093B"/>
    <w:rsid w:val="003A29BE"/>
    <w:rsid w:val="003A305D"/>
    <w:rsid w:val="003B0A93"/>
    <w:rsid w:val="003B4481"/>
    <w:rsid w:val="003C154B"/>
    <w:rsid w:val="003D325B"/>
    <w:rsid w:val="003D599E"/>
    <w:rsid w:val="003D6CB9"/>
    <w:rsid w:val="003E1A71"/>
    <w:rsid w:val="003F6401"/>
    <w:rsid w:val="00401C7F"/>
    <w:rsid w:val="00402301"/>
    <w:rsid w:val="004074BB"/>
    <w:rsid w:val="00414701"/>
    <w:rsid w:val="0042476C"/>
    <w:rsid w:val="004313DE"/>
    <w:rsid w:val="00436C73"/>
    <w:rsid w:val="004443A0"/>
    <w:rsid w:val="004507FD"/>
    <w:rsid w:val="0045486D"/>
    <w:rsid w:val="00462C07"/>
    <w:rsid w:val="00466EF5"/>
    <w:rsid w:val="00473A8B"/>
    <w:rsid w:val="00483011"/>
    <w:rsid w:val="00483217"/>
    <w:rsid w:val="00484C26"/>
    <w:rsid w:val="004A0D5A"/>
    <w:rsid w:val="004B120F"/>
    <w:rsid w:val="004B4F1C"/>
    <w:rsid w:val="004B6CAA"/>
    <w:rsid w:val="004B7AC9"/>
    <w:rsid w:val="004C532E"/>
    <w:rsid w:val="004D3A07"/>
    <w:rsid w:val="004E3099"/>
    <w:rsid w:val="004F2F4D"/>
    <w:rsid w:val="004F7AAE"/>
    <w:rsid w:val="005015E0"/>
    <w:rsid w:val="005055C4"/>
    <w:rsid w:val="0051041C"/>
    <w:rsid w:val="00531925"/>
    <w:rsid w:val="005327E4"/>
    <w:rsid w:val="0053712B"/>
    <w:rsid w:val="00540246"/>
    <w:rsid w:val="00544FD5"/>
    <w:rsid w:val="005469D5"/>
    <w:rsid w:val="00555C6C"/>
    <w:rsid w:val="00557697"/>
    <w:rsid w:val="00570FAE"/>
    <w:rsid w:val="005831D3"/>
    <w:rsid w:val="005A55CE"/>
    <w:rsid w:val="005A59D8"/>
    <w:rsid w:val="005B3BE9"/>
    <w:rsid w:val="005C0AE0"/>
    <w:rsid w:val="005C3EB9"/>
    <w:rsid w:val="005C6DDD"/>
    <w:rsid w:val="005D500C"/>
    <w:rsid w:val="005E1121"/>
    <w:rsid w:val="005E1394"/>
    <w:rsid w:val="005E6230"/>
    <w:rsid w:val="005F3CFB"/>
    <w:rsid w:val="006001DB"/>
    <w:rsid w:val="00602815"/>
    <w:rsid w:val="00604E02"/>
    <w:rsid w:val="00610F0C"/>
    <w:rsid w:val="00613093"/>
    <w:rsid w:val="00634BDD"/>
    <w:rsid w:val="00637514"/>
    <w:rsid w:val="006376BB"/>
    <w:rsid w:val="00640C62"/>
    <w:rsid w:val="0064287C"/>
    <w:rsid w:val="0066161F"/>
    <w:rsid w:val="00676BC2"/>
    <w:rsid w:val="00681AF4"/>
    <w:rsid w:val="00687C94"/>
    <w:rsid w:val="00692FDA"/>
    <w:rsid w:val="006A4263"/>
    <w:rsid w:val="006B2468"/>
    <w:rsid w:val="006B2ED9"/>
    <w:rsid w:val="006C7C9B"/>
    <w:rsid w:val="006F229A"/>
    <w:rsid w:val="006F3AC0"/>
    <w:rsid w:val="006F4C38"/>
    <w:rsid w:val="007173BF"/>
    <w:rsid w:val="00734379"/>
    <w:rsid w:val="00765615"/>
    <w:rsid w:val="00766581"/>
    <w:rsid w:val="007A2B81"/>
    <w:rsid w:val="007A2D5B"/>
    <w:rsid w:val="007B3F41"/>
    <w:rsid w:val="007C7AF2"/>
    <w:rsid w:val="007D30B6"/>
    <w:rsid w:val="007E0226"/>
    <w:rsid w:val="007F10D5"/>
    <w:rsid w:val="007F2285"/>
    <w:rsid w:val="007F3405"/>
    <w:rsid w:val="007F5661"/>
    <w:rsid w:val="008033E3"/>
    <w:rsid w:val="00805833"/>
    <w:rsid w:val="00810BF2"/>
    <w:rsid w:val="0081144D"/>
    <w:rsid w:val="00815458"/>
    <w:rsid w:val="00830785"/>
    <w:rsid w:val="008315F7"/>
    <w:rsid w:val="00831DAD"/>
    <w:rsid w:val="0085230B"/>
    <w:rsid w:val="00861D7D"/>
    <w:rsid w:val="008640C7"/>
    <w:rsid w:val="00866787"/>
    <w:rsid w:val="008675A1"/>
    <w:rsid w:val="008908E9"/>
    <w:rsid w:val="008A23E5"/>
    <w:rsid w:val="008A4ED1"/>
    <w:rsid w:val="008A6175"/>
    <w:rsid w:val="008B74D0"/>
    <w:rsid w:val="008C226B"/>
    <w:rsid w:val="008C669B"/>
    <w:rsid w:val="008C7CFE"/>
    <w:rsid w:val="008D156B"/>
    <w:rsid w:val="008D2367"/>
    <w:rsid w:val="008D2C62"/>
    <w:rsid w:val="008D2D71"/>
    <w:rsid w:val="008D629E"/>
    <w:rsid w:val="008E0BCC"/>
    <w:rsid w:val="008E4FDF"/>
    <w:rsid w:val="008E7BEC"/>
    <w:rsid w:val="008F0DEF"/>
    <w:rsid w:val="008F2F5F"/>
    <w:rsid w:val="008F3091"/>
    <w:rsid w:val="008F3D91"/>
    <w:rsid w:val="00905AD1"/>
    <w:rsid w:val="00915A17"/>
    <w:rsid w:val="00915A50"/>
    <w:rsid w:val="00935417"/>
    <w:rsid w:val="00936F47"/>
    <w:rsid w:val="009441BC"/>
    <w:rsid w:val="009519BE"/>
    <w:rsid w:val="00963347"/>
    <w:rsid w:val="00966E12"/>
    <w:rsid w:val="00970009"/>
    <w:rsid w:val="00975CA9"/>
    <w:rsid w:val="00981478"/>
    <w:rsid w:val="009A5381"/>
    <w:rsid w:val="009B3237"/>
    <w:rsid w:val="009B3B3A"/>
    <w:rsid w:val="009C4BF2"/>
    <w:rsid w:val="009C6FE7"/>
    <w:rsid w:val="009D44D5"/>
    <w:rsid w:val="009D49CA"/>
    <w:rsid w:val="009E2696"/>
    <w:rsid w:val="009F530C"/>
    <w:rsid w:val="00A2597E"/>
    <w:rsid w:val="00A270F5"/>
    <w:rsid w:val="00A30626"/>
    <w:rsid w:val="00A36AC4"/>
    <w:rsid w:val="00A40A58"/>
    <w:rsid w:val="00A45515"/>
    <w:rsid w:val="00A463DD"/>
    <w:rsid w:val="00A53D26"/>
    <w:rsid w:val="00A74BAD"/>
    <w:rsid w:val="00A77B64"/>
    <w:rsid w:val="00A81B2F"/>
    <w:rsid w:val="00A836AD"/>
    <w:rsid w:val="00A8476C"/>
    <w:rsid w:val="00A945F4"/>
    <w:rsid w:val="00AA1775"/>
    <w:rsid w:val="00AA5415"/>
    <w:rsid w:val="00AB3FED"/>
    <w:rsid w:val="00AC2437"/>
    <w:rsid w:val="00AC4B9D"/>
    <w:rsid w:val="00AC6BC7"/>
    <w:rsid w:val="00AD1251"/>
    <w:rsid w:val="00AD21F0"/>
    <w:rsid w:val="00AE7076"/>
    <w:rsid w:val="00AE77F4"/>
    <w:rsid w:val="00AF1BC5"/>
    <w:rsid w:val="00AF1C9E"/>
    <w:rsid w:val="00AF4126"/>
    <w:rsid w:val="00AF4C70"/>
    <w:rsid w:val="00B00D17"/>
    <w:rsid w:val="00B01A25"/>
    <w:rsid w:val="00B0206B"/>
    <w:rsid w:val="00B076C6"/>
    <w:rsid w:val="00B11FA3"/>
    <w:rsid w:val="00B14D44"/>
    <w:rsid w:val="00B16949"/>
    <w:rsid w:val="00B2015F"/>
    <w:rsid w:val="00B23A51"/>
    <w:rsid w:val="00B305A0"/>
    <w:rsid w:val="00B52814"/>
    <w:rsid w:val="00B71FAB"/>
    <w:rsid w:val="00BA12B9"/>
    <w:rsid w:val="00BB21A4"/>
    <w:rsid w:val="00BB6DB3"/>
    <w:rsid w:val="00BB727C"/>
    <w:rsid w:val="00BC308B"/>
    <w:rsid w:val="00BD2465"/>
    <w:rsid w:val="00BF11A6"/>
    <w:rsid w:val="00BF1766"/>
    <w:rsid w:val="00BF277E"/>
    <w:rsid w:val="00C07FBC"/>
    <w:rsid w:val="00C304DB"/>
    <w:rsid w:val="00C32807"/>
    <w:rsid w:val="00C32E20"/>
    <w:rsid w:val="00C40909"/>
    <w:rsid w:val="00C44C62"/>
    <w:rsid w:val="00C47B4E"/>
    <w:rsid w:val="00C53277"/>
    <w:rsid w:val="00C57559"/>
    <w:rsid w:val="00C60F62"/>
    <w:rsid w:val="00C623F7"/>
    <w:rsid w:val="00C75E45"/>
    <w:rsid w:val="00C858D3"/>
    <w:rsid w:val="00C90A9E"/>
    <w:rsid w:val="00C94FE9"/>
    <w:rsid w:val="00CC01A0"/>
    <w:rsid w:val="00CD0601"/>
    <w:rsid w:val="00CE22C1"/>
    <w:rsid w:val="00CF2F28"/>
    <w:rsid w:val="00CF515C"/>
    <w:rsid w:val="00CF6377"/>
    <w:rsid w:val="00D00F49"/>
    <w:rsid w:val="00D031E6"/>
    <w:rsid w:val="00D06B5D"/>
    <w:rsid w:val="00D10C7C"/>
    <w:rsid w:val="00D21F6C"/>
    <w:rsid w:val="00D22729"/>
    <w:rsid w:val="00D4195A"/>
    <w:rsid w:val="00D50746"/>
    <w:rsid w:val="00D5426A"/>
    <w:rsid w:val="00D62893"/>
    <w:rsid w:val="00D679E7"/>
    <w:rsid w:val="00D7475D"/>
    <w:rsid w:val="00D750B1"/>
    <w:rsid w:val="00D82101"/>
    <w:rsid w:val="00D9146D"/>
    <w:rsid w:val="00D92DDA"/>
    <w:rsid w:val="00DA739E"/>
    <w:rsid w:val="00DB25D9"/>
    <w:rsid w:val="00DB5804"/>
    <w:rsid w:val="00DC0753"/>
    <w:rsid w:val="00DD1EB3"/>
    <w:rsid w:val="00DD6462"/>
    <w:rsid w:val="00DE2880"/>
    <w:rsid w:val="00DE7002"/>
    <w:rsid w:val="00DF11AE"/>
    <w:rsid w:val="00DF1A76"/>
    <w:rsid w:val="00DF72F3"/>
    <w:rsid w:val="00E07F3D"/>
    <w:rsid w:val="00E1184B"/>
    <w:rsid w:val="00E12533"/>
    <w:rsid w:val="00E201E3"/>
    <w:rsid w:val="00E20430"/>
    <w:rsid w:val="00E24E6A"/>
    <w:rsid w:val="00E4624F"/>
    <w:rsid w:val="00E545D6"/>
    <w:rsid w:val="00E57EF6"/>
    <w:rsid w:val="00E622FA"/>
    <w:rsid w:val="00E76AA5"/>
    <w:rsid w:val="00E82BCD"/>
    <w:rsid w:val="00E83DA3"/>
    <w:rsid w:val="00E91ECA"/>
    <w:rsid w:val="00E91F78"/>
    <w:rsid w:val="00EA2784"/>
    <w:rsid w:val="00EA36F8"/>
    <w:rsid w:val="00EB6945"/>
    <w:rsid w:val="00EC0662"/>
    <w:rsid w:val="00EC5703"/>
    <w:rsid w:val="00ED28B4"/>
    <w:rsid w:val="00ED6A61"/>
    <w:rsid w:val="00EE010C"/>
    <w:rsid w:val="00EF01B7"/>
    <w:rsid w:val="00F00BF8"/>
    <w:rsid w:val="00F02D68"/>
    <w:rsid w:val="00F22986"/>
    <w:rsid w:val="00F31752"/>
    <w:rsid w:val="00F32DE2"/>
    <w:rsid w:val="00F4009A"/>
    <w:rsid w:val="00F5047B"/>
    <w:rsid w:val="00F531AD"/>
    <w:rsid w:val="00F54ED4"/>
    <w:rsid w:val="00F61511"/>
    <w:rsid w:val="00F6272B"/>
    <w:rsid w:val="00F646E9"/>
    <w:rsid w:val="00F71790"/>
    <w:rsid w:val="00F7714D"/>
    <w:rsid w:val="00F77725"/>
    <w:rsid w:val="00F801EE"/>
    <w:rsid w:val="00F86224"/>
    <w:rsid w:val="00F86E9F"/>
    <w:rsid w:val="00F8737D"/>
    <w:rsid w:val="00F97CD6"/>
    <w:rsid w:val="00FB6C17"/>
    <w:rsid w:val="00FB755D"/>
    <w:rsid w:val="00FC67AB"/>
    <w:rsid w:val="00FC7284"/>
    <w:rsid w:val="00FD0D8E"/>
    <w:rsid w:val="00FD14C9"/>
    <w:rsid w:val="00FD772D"/>
    <w:rsid w:val="00FF07DB"/>
    <w:rsid w:val="00FF0F93"/>
    <w:rsid w:val="00FF24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6A8EF"/>
  <w15:chartTrackingRefBased/>
  <w15:docId w15:val="{8A928CFB-2354-4898-87A1-808FCBD5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A73F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A73F8"/>
    <w:pPr>
      <w:tabs>
        <w:tab w:val="center" w:pos="4536"/>
        <w:tab w:val="right" w:pos="9072"/>
      </w:tabs>
    </w:pPr>
  </w:style>
  <w:style w:type="paragraph" w:styleId="Fuzeile">
    <w:name w:val="footer"/>
    <w:basedOn w:val="Standard"/>
    <w:rsid w:val="002A73F8"/>
    <w:pPr>
      <w:tabs>
        <w:tab w:val="center" w:pos="4536"/>
        <w:tab w:val="right" w:pos="9072"/>
      </w:tabs>
    </w:pPr>
  </w:style>
  <w:style w:type="paragraph" w:styleId="Listenabsatz">
    <w:name w:val="List Paragraph"/>
    <w:basedOn w:val="Standard"/>
    <w:uiPriority w:val="34"/>
    <w:qFormat/>
    <w:rsid w:val="001E57AD"/>
    <w:pPr>
      <w:ind w:left="720"/>
    </w:pPr>
    <w:rPr>
      <w:rFonts w:ascii="Calibri" w:eastAsia="Calibri" w:hAnsi="Calibri"/>
      <w:sz w:val="22"/>
      <w:szCs w:val="22"/>
    </w:rPr>
  </w:style>
  <w:style w:type="paragraph" w:styleId="Sprechblasentext">
    <w:name w:val="Balloon Text"/>
    <w:basedOn w:val="Standard"/>
    <w:link w:val="SprechblasentextZchn"/>
    <w:rsid w:val="00123530"/>
    <w:rPr>
      <w:rFonts w:ascii="Segoe UI" w:hAnsi="Segoe UI" w:cs="Segoe UI"/>
      <w:sz w:val="18"/>
      <w:szCs w:val="18"/>
    </w:rPr>
  </w:style>
  <w:style w:type="character" w:customStyle="1" w:styleId="SprechblasentextZchn">
    <w:name w:val="Sprechblasentext Zchn"/>
    <w:link w:val="Sprechblasentext"/>
    <w:rsid w:val="00123530"/>
    <w:rPr>
      <w:rFonts w:ascii="Segoe UI" w:hAnsi="Segoe UI" w:cs="Segoe UI"/>
      <w:sz w:val="18"/>
      <w:szCs w:val="18"/>
    </w:rPr>
  </w:style>
  <w:style w:type="character" w:styleId="Fett">
    <w:name w:val="Strong"/>
    <w:uiPriority w:val="22"/>
    <w:qFormat/>
    <w:rsid w:val="00A945F4"/>
    <w:rPr>
      <w:b/>
      <w:bCs/>
    </w:rPr>
  </w:style>
  <w:style w:type="table" w:styleId="Tabellenraster">
    <w:name w:val="Table Grid"/>
    <w:basedOn w:val="NormaleTabelle"/>
    <w:uiPriority w:val="39"/>
    <w:rsid w:val="00B1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DF1A76"/>
    <w:rPr>
      <w:color w:val="0563C1" w:themeColor="hyperlink"/>
      <w:u w:val="single"/>
    </w:rPr>
  </w:style>
  <w:style w:type="character" w:styleId="NichtaufgelsteErwhnung">
    <w:name w:val="Unresolved Mention"/>
    <w:basedOn w:val="Absatz-Standardschriftart"/>
    <w:uiPriority w:val="99"/>
    <w:semiHidden/>
    <w:unhideWhenUsed/>
    <w:rsid w:val="00DF1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3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988C6064F43AD449938601AA535FA24" ma:contentTypeVersion="7" ma:contentTypeDescription="Ein neues Dokument erstellen." ma:contentTypeScope="" ma:versionID="52c046003fd957115246143ab7099e2a">
  <xsd:schema xmlns:xsd="http://www.w3.org/2001/XMLSchema" xmlns:xs="http://www.w3.org/2001/XMLSchema" xmlns:p="http://schemas.microsoft.com/office/2006/metadata/properties" xmlns:ns2="35364f18-a5c2-44eb-b096-3864a599a682" targetNamespace="http://schemas.microsoft.com/office/2006/metadata/properties" ma:root="true" ma:fieldsID="1074032e1f8148fa120d4b52c7e028a7" ns2:_="">
    <xsd:import namespace="35364f18-a5c2-44eb-b096-3864a599a6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64f18-a5c2-44eb-b096-3864a599a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FCF64-B560-4648-A6DA-80285309C1F0}">
  <ds:schemaRefs>
    <ds:schemaRef ds:uri="http://schemas.microsoft.com/sharepoint/v3/contenttype/forms"/>
  </ds:schemaRefs>
</ds:datastoreItem>
</file>

<file path=customXml/itemProps2.xml><?xml version="1.0" encoding="utf-8"?>
<ds:datastoreItem xmlns:ds="http://schemas.openxmlformats.org/officeDocument/2006/customXml" ds:itemID="{868C0386-26FE-45A6-8770-E1F8203310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FE4510-520A-4FD6-9DF3-0FD010CAD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64f18-a5c2-44eb-b096-3864a599a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8C06D-A799-4F98-BD34-5B7C72FC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deitermann</dc:creator>
  <cp:keywords/>
  <cp:lastModifiedBy>Ralph Deitermann</cp:lastModifiedBy>
  <cp:revision>4</cp:revision>
  <cp:lastPrinted>2021-11-29T17:08:00Z</cp:lastPrinted>
  <dcterms:created xsi:type="dcterms:W3CDTF">2025-02-18T10:45:00Z</dcterms:created>
  <dcterms:modified xsi:type="dcterms:W3CDTF">2025-02-18T11:13:00Z</dcterms:modified>
</cp:coreProperties>
</file>